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02"/>
        <w:ind w:left="0" w:right="0" w:firstLine="0"/>
        <w:jc w:val="both"/>
        <w:spacing w:before="299" w:after="29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Uvodna analiza ekonomske aktivnosti stanovništva Čačka</w:t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Ekonomska aktivnost stanovništva predstavlja jedan od ključnih indikatora socio-ekonomskog razvoja grada. U Čačku, kao privredno razvijenom centru sa dugom tradicijom u industriji, poljoprivredi i preduzetništvu, analiza ekonomske aktivnosti može pružiti u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vid u trenutne trendove, izazove i mogućnosti za dalji razvoj tržišta rada.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Cilj ove analize je da pruži sveobuhvatan pregled strukture stanovništva prema ekonomskoj aktivnosti, polu i starosnim grupama, uz osvrt na faktore koji utiču na zaposlenost i nezaposlenost, kao i na stepen neaktivnosti stanovništva. Razumevanje ovih fakto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ra je ključno za donošenje politika koje će podstaći rast zaposlenosti, poboljšati socio-ekonomski položaj stanovnika i povećati kvalitet života u Čačku.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Analiza je rađena na osnovu podataka Republičkog zavoda za startistiku koji su dostupni u delu baze Stanovništvo prema ekonomskoj aktivnosti, starosti i polu na linku: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hyperlink r:id="rId11" w:tooltip="https://data.stat.gov.rs/Home/Result/3104020801?languageCode=sr-Latn" w:history="1">
        <w:r>
          <w:rPr>
            <w:rStyle w:val="1160"/>
            <w:rFonts w:ascii="Times New Roman" w:hAnsi="Times New Roman" w:eastAsia="Times New Roman" w:cs="Times New Roman"/>
            <w:sz w:val="24"/>
            <w:szCs w:val="24"/>
            <w:highlight w:val="none"/>
          </w:rPr>
          <w:t xml:space="preserve">https://data.stat.gov.rs/Home/Result/3104020801?languageCode=sr-Latn</w:t>
        </w:r>
        <w:r>
          <w:rPr>
            <w:rStyle w:val="1160"/>
            <w:rFonts w:ascii="Times New Roman" w:hAnsi="Times New Roman" w:eastAsia="Times New Roman" w:cs="Times New Roman"/>
            <w:sz w:val="24"/>
            <w:szCs w:val="24"/>
            <w:highlight w:val="none"/>
          </w:rPr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</w:t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/>
    </w:p>
    <w:p>
      <w:pPr>
        <w:pStyle w:val="1004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1. Struktura stanovništva prema ekonomskoj aktivnosti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Ukupno stanovništvo Čačka prema poslednjim podacima iznosi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105.612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a ekonomska aktivnost stanovništva raspodeljena je u sledeće kategorije:</w:t>
      </w:r>
      <w:r>
        <w:rPr>
          <w:sz w:val="24"/>
          <w:szCs w:val="24"/>
        </w:rPr>
      </w:r>
      <w:r/>
    </w:p>
    <w:tbl>
      <w:tblPr>
        <w:tblStyle w:val="1034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927"/>
        <w:gridCol w:w="1650"/>
        <w:gridCol w:w="99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2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Kategorija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Broj stanovnika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Udeo (%)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2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 stanovništvo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105.612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100,00%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2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Aktivno stanovništvo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45.253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42,86%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2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 • Zaposleni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39.939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37,82%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2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 • Nezaposleni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5.314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5,03%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2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Neaktivno stanovništvo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60.359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57,14%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2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 • Lica u domaćoj proizvodnji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1.357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1,28%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2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 • Lica u kućnim poslovima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5.372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5,09%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2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 • Ostala neaktivna lica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4.118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3,90%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1006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Komentari: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Relativno nizak nivo ekonomske aktivnosti: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Samo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42,86%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stanovništva Čačka je ekonomski aktivno, što znači da je više od polovine stanovnika (57,14%) neaktivno, uključujući penzionere, studente i domaćice.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Ovaj podatak ukazuje na potrebu za strategijama koje bi povećale učešće radno sposobnog stanovništva u formalnoj ekonomiji.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Stopa nezaposlenosti: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Udeo nezaposlenih u aktivnom stanovništvu iznosi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11,74%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što ukazuje na prisutan problem sa pronalaženjem posla, posebno među mlađim kategorijama stanovništva.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Dominacija zaposlenih: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7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Većina ekonomski aktivnog stanovništva je zaposlena (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88,26%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aktivnih), što pokazuje relativnu stabilnost tržišta rada, ali i potencijal za dalji rast zaposlenosti.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Značajan udeo neaktivnih osoba: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9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Veliki procenat neaktivnog stanovništva ukazuje na potrebu za dodatnim programima aktivacije radno sposobnog stanovništva, posebno u starosnim grupama između 50 i 64 godine.</w:t>
      </w:r>
      <w:r>
        <w:rPr>
          <w:sz w:val="24"/>
          <w:szCs w:val="24"/>
        </w:rPr>
      </w:r>
      <w:r/>
    </w:p>
    <w:p>
      <w:pPr>
        <w:pStyle w:val="1004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2. Ekonomska aktivnost prema polu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Analiza ekonomske aktivnosti prema polu otkriva značajne razlike između muškaraca i žena:</w:t>
      </w:r>
      <w:r>
        <w:rPr>
          <w:sz w:val="24"/>
          <w:szCs w:val="24"/>
        </w:rPr>
      </w:r>
      <w:r/>
    </w:p>
    <w:tbl>
      <w:tblPr>
        <w:tblStyle w:val="1034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90"/>
        <w:gridCol w:w="2010"/>
        <w:gridCol w:w="2173"/>
        <w:gridCol w:w="1007"/>
        <w:gridCol w:w="1230"/>
        <w:gridCol w:w="146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Pol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1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 stanovnika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Aktivno stanovništvo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Zaposleni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Nezaposleni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Neaktivni (%)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Muškarci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1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51.018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23.921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21.122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2.799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53,11%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Žene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1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54.594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21.332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18.817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2.515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60,89%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1006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Komentari: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Niža ekonomska aktivnost žena: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11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Samo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39,08%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u Čačku je ekonomski aktivno, dok je kod muškaraca taj procenat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46,88%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što ukazuje na značajan rodni disbalans.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1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Ograničene mogućnosti za zapošljavanje žena u pojedinim sektorima i tradicionalna raspodela uloga mogu biti ključni faktori ovakvih razlika.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Veća nezaposlenost među ženama: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1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Stopa nezaposlenosti žena je nešto viša nego kod muškaraca, što može ukazivati na teže uključivanje u tržište rada.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Visoka neaktivnost žena: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1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Više od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60%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je neaktivno, što ukazuje na potrebu za dodatnim merama podrške kroz fleksibilne radne aranžmane i podsticaje za zapošljavanje žena.</w:t>
      </w:r>
      <w:r>
        <w:rPr>
          <w:sz w:val="24"/>
          <w:szCs w:val="24"/>
        </w:rPr>
      </w:r>
      <w:r/>
    </w:p>
    <w:p>
      <w:pPr>
        <w:pStyle w:val="1004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3. Ekonomska aktivnost prema starosnim grupama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Uvid u starosne grupe pruža bolji pregled dinamike tržišta rada u Čačku:</w:t>
      </w:r>
      <w:r>
        <w:rPr>
          <w:sz w:val="24"/>
          <w:szCs w:val="24"/>
        </w:rPr>
      </w:r>
      <w:r/>
    </w:p>
    <w:tbl>
      <w:tblPr>
        <w:tblStyle w:val="1034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63"/>
        <w:gridCol w:w="1987"/>
        <w:gridCol w:w="2148"/>
        <w:gridCol w:w="996"/>
        <w:gridCol w:w="1216"/>
        <w:gridCol w:w="144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Starosna grupa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 stanovnika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Aktivno stanovništvo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Zaposleni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Nezaposleni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4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Neaktivni (%)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15–19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5.589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531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4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90,50%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20–24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5.018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2.259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1.801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458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4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55,00%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25–29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5.449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4.328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3.712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4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20,54%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30–49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27.730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23.674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21.192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2.482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4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14,63%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50–59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14.221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10.405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9.299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1.106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4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26,81%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60–64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8.030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3.632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3.226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406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4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54,74%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65+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24.416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424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391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1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4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98,26%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1006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Komentari: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Mladi (15–24 godine):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1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Oko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90%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mladih od 15 do 19 godina je neaktivno, što je očekivano zbog školovanja.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19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Među mladima od 20 do 24 godine, nezaposlenost iznosi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20,27%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što ukazuje na izazove u prvom zapošljavanju.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Starosna grupa 30–49 godina: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21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Ovo je najaktivnija grupa sa učešćem od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85,41%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što potvrđuje dominantnu radno aktivnu populaciju u ovom periodu života.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Stariji od 50 godina: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2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Sa porastom godina, udeo neaktivnog stanovništva raste – čak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98,26%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starijih od 65 godina je neaktivno, što je rezultat odlaska u penziju.</w:t>
      </w:r>
      <w:r>
        <w:rPr>
          <w:sz w:val="24"/>
          <w:szCs w:val="24"/>
        </w:rPr>
      </w:r>
      <w:r/>
    </w:p>
    <w:p>
      <w:pPr>
        <w:pStyle w:val="1004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Zaključak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Ekonomska aktivnost stanovništva Čačka pokazuje relativno nizak nivo učešća u tržištu rada, sa izraženim rodnim i starosnim razlikama. Mladi i stariji su najugroženije kategorije, dok žene imaju nižu stopu ekonomske aktivnosti u odnosu na muškarce. Potrebn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 su dodatne mere za povećanje zaposlenosti, uključujući prekvalifikacije, fleksibilne radne aranžmane i podsticaje za zapošljavanje žena i mladih.</w:t>
      </w:r>
      <w:r>
        <w:rPr>
          <w:sz w:val="24"/>
          <w:szCs w:val="24"/>
        </w:rPr>
      </w:r>
      <w:r/>
    </w:p>
    <w:p>
      <w:pPr>
        <w:shd w:val="nil" w:color="auto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  <w:r/>
    </w:p>
    <w:p>
      <w:pPr>
        <w:pStyle w:val="1002"/>
        <w:ind w:left="0" w:right="0" w:firstLine="0"/>
        <w:jc w:val="both"/>
        <w:spacing w:before="299" w:after="299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Analiza ekonomske aktivnosti žena u Čačku</w:t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Ekonomska aktivnost žena u Čačku predstavlja važan indikator socio-ekonomskog razvoja grada. Učešće žena u tržištu rada odražava stepen njihove integracije u privredne tokove, kao i izazove sa kojima se suočavaju u procesu zapošljavanja. Analizom podataka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 zaposlenosti, nezaposlenosti i neaktivnosti žena mogu se identifikovati ključni problemi, ali i prilike za unapređenje ekonomskog položaja žena u lokalnoj zajednici.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Cilj ove analize je da pruži uvid u trenutno stanje ekonomske aktivnosti žena u Čačku kroz analizu strukture zaposlenosti i nezaposlenosti, starosne i obrazovne strukture, kao i preporuke za povećanje učešća žena u tržištu rada.</w:t>
      </w:r>
      <w:r>
        <w:rPr>
          <w:sz w:val="24"/>
          <w:szCs w:val="24"/>
        </w:rPr>
      </w:r>
      <w:r/>
    </w:p>
    <w:p>
      <w:pPr>
        <w:pStyle w:val="1004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1. Struktura ekonomske aktivnosti žena u Čačku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Ukupan broj žena u Čačku prema poslednjim podacima iznosi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54.594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od kojih je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39,08%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ekonomski aktivno. Detaljna struktura ekonomske aktivnosti prikazana je u sledećoj tabeli:</w:t>
      </w:r>
      <w:r>
        <w:rPr>
          <w:sz w:val="24"/>
          <w:szCs w:val="24"/>
        </w:rPr>
      </w:r>
      <w:r/>
    </w:p>
    <w:tbl>
      <w:tblPr>
        <w:tblStyle w:val="1034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927"/>
        <w:gridCol w:w="990"/>
        <w:gridCol w:w="99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2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Kategorija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Broj žena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Udeo (%)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2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 žene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54.594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100,00%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2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Aktivne žene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21.332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39,08%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2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 • Zaposlene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18.817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34,49%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2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 • Nezaposlene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2.515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4,60%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2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Neaktivne žene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33.262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60,92%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2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 • Lica u domaćoj proizvodnji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323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0,59%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2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 • Lica u kućnim poslovima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4.721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8,65%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2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 • Ostala neaktivna lica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1.571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2,88%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1006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Komentari: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Nizak nivo ekonomske aktivnosti: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2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Samo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39,08%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u Čačku je aktivno na tržištu rada, dok je čak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60,92%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neaktivno, što ukazuje na visok udeo žena koje nisu uključene u formalnu ekonomiju.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2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Veliki broj žena je angažovan na neplaćenim kućnim poslovima (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8,65%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), što ukazuje na tradicionalnu podelu uloga u domaćinstvu.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Stopa nezaposlenosti: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2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Među aktivnim ženama,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11,79%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je nezaposleno, što je značajan procenat i ukazuje na izazove sa zapošljavanjem i nedovoljnu priliku za profesionalni razvoj.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Visok udeo neaktivnih žena: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3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Više od polovine žena je neaktivno, što može ukazivati na nedostatak odgovarajućih prilika za zapošljavanje, neusklađenost sa potrebama tržišta rada, ali i izraženu orijentaciju ka porodičnim obavezama.</w:t>
      </w:r>
      <w:r>
        <w:rPr>
          <w:sz w:val="24"/>
          <w:szCs w:val="24"/>
        </w:rPr>
      </w:r>
      <w:r/>
    </w:p>
    <w:p>
      <w:pPr>
        <w:pStyle w:val="1004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2. Ekonomska aktivnost žena prema starosnim grupama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Pregled ekonomske aktivnosti žena u različitim starosnim grupama omogućava dublje razumevanje trendova zapošljavanja i nezaposlenosti:</w:t>
      </w:r>
      <w:r>
        <w:rPr>
          <w:sz w:val="24"/>
          <w:szCs w:val="24"/>
        </w:rPr>
      </w:r>
      <w:r/>
    </w:p>
    <w:tbl>
      <w:tblPr>
        <w:tblStyle w:val="1034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81"/>
        <w:gridCol w:w="1359"/>
        <w:gridCol w:w="1333"/>
        <w:gridCol w:w="1041"/>
        <w:gridCol w:w="1273"/>
        <w:gridCol w:w="150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Starosna grupa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 žena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Aktivne žene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Zaposlene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Nezaposlene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Neaktivne (%)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15–19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2.714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94,25%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20–24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2.451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874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690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64,33%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25–29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2.636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1.987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1.691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296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24,64%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30–49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13.897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11.560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10.341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1.219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16,83%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50–59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7.481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5.108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4.534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574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31,70%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60–64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4.287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1.526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1.367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64,38%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65+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13.809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99,12%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1006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Komentari: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Mladi (15–24 godine):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3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Oko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94,25%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mladih žena do 19 godina je neaktivno, dok se u grupi 20–24 godine neaktivnost smanjuje, ali je i dalje visoka (64,33%).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Žene u radno aktivnom periodu (30–49 godina):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3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Ova starosna grupa ima najvišu stopu ekonomske aktivnosti (83,17%), što ukazuje na period najveće radne angažovanosti žena.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Starije žene (50+ godina):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3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 grupi 50–59 godina, značajan procenat žena ostaje ekonomski aktivan, ali se nakon 60. godine većina povlači sa tržišta rada.</w:t>
      </w:r>
      <w:r>
        <w:rPr>
          <w:sz w:val="24"/>
          <w:szCs w:val="24"/>
        </w:rPr>
      </w:r>
      <w:r/>
    </w:p>
    <w:p>
      <w:pPr>
        <w:pStyle w:val="1004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3. Ključni izazovi ekonomske aktivnosti žena u Čačku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Rodna nejednakost u zapošljavanju: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3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Žene imaju niži nivo ekonomske aktivnosti u odnosu na muškarce, posebno u sektorima sa većom zaradom.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Tradicionalna podela uloga: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4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Veliki broj žena bavi se neplaćenim kućnim poslovima, što ih isključuje iz formalnog tržišta rada.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Ograničene mogućnosti za prekvalifikaciju: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4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Postoji potreba za programima osposobljavanja kako bi žene bile konkurentnije na tržištu rada.</w:t>
      </w:r>
      <w:r>
        <w:rPr>
          <w:sz w:val="24"/>
          <w:szCs w:val="24"/>
        </w:rPr>
      </w:r>
      <w:r/>
    </w:p>
    <w:p>
      <w:pPr>
        <w:pStyle w:val="1004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4. Preporuke za unapređenje ekonomske aktivnosti žena u Čačku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Podrška preduzetništvu žena: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4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Pružiti finansijske i mentorske programe za žene koje žele da pokrenu sopstveni biznis.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Programi prekvalifikacije i stručnog osposobljavanja: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4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Organizovati besplatne obuke u oblastima gde postoji potražnja za radnom snagom.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Fleksibilni radni aranžmani: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4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Omogućiti rad sa skraćenim radnim vremenom i rad od kuće kako bi se ženama omogućila bolja ravnoteža između karijere i porodičnih obaveza.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Podsticanje zapošljavanja žena kroz lokalne politike: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5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Uvođenje poreskih olakšica za poslodavce koji zapošljavaju žene u sektorima sa niskim učešćem žena.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Povećanje učešća žena u donošenju ekonomskih odluka: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5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Veća zastupljenost žena u privrednim komorama i organizacijama koje kreiraju lokalne politike zapošljavanja.</w:t>
      </w:r>
      <w:r>
        <w:rPr>
          <w:sz w:val="24"/>
          <w:szCs w:val="24"/>
        </w:rPr>
      </w:r>
      <w:r/>
    </w:p>
    <w:p>
      <w:pPr>
        <w:pStyle w:val="1004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Zaključak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Žene u Čačku čine značajan deo stanovništva, ali i dalje postoji nizak nivo njihove ekonomske aktivnosti. Potrebne su sistemske mere podrške kako bi se povećala njihova zapošljivost, smanjila nezaposlenost i omogućilo bolje usklađivanje profesionalnog i po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rodičnog života. Implementacija politika koje podstiču ekonomsko osnaživanje žena može doprineti celokupnom ekonomskom razvoju grada.</w:t>
      </w:r>
      <w:r>
        <w:rPr>
          <w:sz w:val="24"/>
          <w:szCs w:val="24"/>
        </w:rPr>
      </w:r>
      <w:r/>
    </w:p>
    <w:p>
      <w:pPr>
        <w:shd w:val="nil" w:color="auto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  <w:r/>
    </w:p>
    <w:p>
      <w:pPr>
        <w:pStyle w:val="1002"/>
        <w:ind w:left="0" w:right="0" w:firstLine="0"/>
        <w:jc w:val="both"/>
        <w:spacing w:before="299" w:after="299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Analiza ekonomske aktivnosti žena do 30 godina u Čačku</w:t>
      </w:r>
      <w:r/>
    </w:p>
    <w:p>
      <w:pPr>
        <w:pStyle w:val="1004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Uvod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Ekonomska aktivnost žena do 30 godina u Čačku je ključan pokazatelj perspektiva za mlade generacije i njihovog učešća u tržištu rada. Ova starosna grupa se suočava sa brojnim izazovima, uključujući tranziciju iz obrazovnog sistema u radni angažman, neuskla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đenost obrazovnih profila sa potrebama tržišta rada, kao i ograničene mogućnosti za stabilno zaposlenje.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Analiza ekonomske aktivnosti žena u ovoj starosnoj grupi može pomoći u prepoznavanju ključnih problema i definisanju mera koje bi unapredile njihovu poziciju na tržištu rada i omogućile im veće ekonomsko osnaživanje.</w:t>
      </w:r>
      <w:r>
        <w:rPr>
          <w:sz w:val="24"/>
          <w:szCs w:val="24"/>
        </w:rPr>
      </w:r>
      <w:r/>
    </w:p>
    <w:p>
      <w:pPr>
        <w:pStyle w:val="1004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1. Pregled ekonomske aktivnosti žena do 30 godina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Ukupan broj žena do 30 godina u Čačku iznosi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7.801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a njihova raspodela po kategorijama ekonomske aktivnosti prikazana je u sledećoj tabeli:</w:t>
      </w:r>
      <w:r>
        <w:rPr>
          <w:sz w:val="24"/>
          <w:szCs w:val="24"/>
        </w:rPr>
      </w:r>
      <w:r/>
    </w:p>
    <w:tbl>
      <w:tblPr>
        <w:tblStyle w:val="1034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81"/>
        <w:gridCol w:w="1359"/>
        <w:gridCol w:w="1333"/>
        <w:gridCol w:w="1041"/>
        <w:gridCol w:w="1273"/>
        <w:gridCol w:w="1556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Starosna grupa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 žena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Aktivne žene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Zaposlene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Nezaposlene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Neaktivne žene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15–19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2.714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2.558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20–24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2.451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874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690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1.577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25–29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2.636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1.987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1.691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296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649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7.801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3.017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2.463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554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4.784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1006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 na tabelu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Niska ekonomska aktivnost mladih žena: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5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Od ukupno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7.801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do 30 godina, samo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38,67%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je ekonomski aktivno, dok je čak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61,33%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neaktivno.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5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Najniža ekonomska aktivnost beleži se u grupi od 15 do 19 godina, gde su žene uglavnom uključene u obrazovni sistem.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Visoka stopa nezaposlenosti među mladima: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57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Među ekonomskim aktivnim ženama u ovoj starosnoj grupi,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18,37%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je nezaposleno, što ukazuje na izazove u zapošljavanju mladih žena, naročito u grupi od 20 do 24 godine.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Rast ekonomske aktivnosti sa godinama: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59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Udeo aktivnih žena značajno raste sa uzrastom – dok u grupi 15–19 godina samo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5,75%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učestvuje na tržištu rada, u grupi 25–29 godina taj procenat dostiže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75,39%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što ukazuje na prelazak iz obrazovanja u zapošljavanje.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ind w:left="709" w:right="0" w:firstLine="0"/>
        <w:jc w:val="both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/>
    </w:p>
    <w:p>
      <w:pPr>
        <w:pStyle w:val="1004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2. Udeo žena u ekonomskoj aktivnosti po starosnim grupama</w:t>
      </w:r>
      <w:r>
        <w:rPr>
          <w:sz w:val="24"/>
          <w:szCs w:val="24"/>
        </w:rPr>
      </w:r>
      <w:r/>
    </w:p>
    <w:tbl>
      <w:tblPr>
        <w:tblStyle w:val="1034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319"/>
        <w:gridCol w:w="2034"/>
        <w:gridCol w:w="1784"/>
        <w:gridCol w:w="1984"/>
        <w:gridCol w:w="223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Starosna grupa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Udeo aktivnih žena (%)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Udeo zaposlenih (%)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Udeo nezaposlenih (%)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Udeo neaktivnih žena (%)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15–19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5,75%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3,02%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2,73%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94,25%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20–24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35,65%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28,15%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7,50%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64,33%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25–29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75,39%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64,14%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11,25%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24,61%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1006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Komentari: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Starosna grupa 15–19 godina: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61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Očekivano, najveći deo žena u ovoj grupi je neaktivan jer su većinom još uvek u procesu obrazovanja.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6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Mali broj zaposlenih pokazuje da samo mali procenat žena stupa na tržište rada pre završetka srednjeg obrazovanja.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Starosna grupa 20–24 godine: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6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Iako je veći broj žena aktivan, i dalje postoji visoka stopa nezaposlenosti (7,50%), što ukazuje na prepreke u pronalaženju prvog posla ili na neusklađenost obrazovanja sa potrebama tržišta rada.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Starosna grupa 25–29 godina: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6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Većina žena u ovoj starosnoj grupi je aktivna na tržištu rada (75,39%), ali i dalje postoji značajan udeo neaktivnih, što može ukazivati na porodične obaveze i nedostatak fleksibilnih radnih opcija.</w:t>
      </w:r>
      <w:r>
        <w:rPr>
          <w:sz w:val="24"/>
          <w:szCs w:val="24"/>
        </w:rPr>
      </w:r>
      <w:r/>
    </w:p>
    <w:p>
      <w:pPr>
        <w:pStyle w:val="1004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3. Ključni izazovi ekonomske aktivnosti mladih žena u Čačku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Nedostatak prilika za prvo zaposlenje: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6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Visoka stopa nezaposlenosti u grupi 20–24 godine ukazuje na teškoće u tranziciji iz obrazovanja u zaposlenje.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Niska učešće u preduzetništvu: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7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Mladi žene se retko odlučuju na pokretanje sopstvenog biznisa zbog nedostatka finansijske podrške i poslovnih veština.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Neusklađenost obrazovnih profila sa potrebama tržišta rada: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7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Postoji potreba za programima prekvalifikacije i stručnog osposobljavanja u oblastima sa većom potražnjom za radnom snagom.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Rodni stereotipi i porodične obaveze: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7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Tradicionalna očekivanja često ograničavaju mogućnosti žena da se posvete karijeri, posebno u sektorima sa niskom stopom učešća žena.</w:t>
      </w:r>
      <w:r>
        <w:rPr>
          <w:sz w:val="24"/>
          <w:szCs w:val="24"/>
        </w:rPr>
      </w:r>
      <w:r/>
    </w:p>
    <w:p>
      <w:pPr>
        <w:pStyle w:val="1004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4. Preporuke za unapređenje ekonomske aktivnosti mladih žena u Čačku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Programi podrške za zapošljavanje mladih žena: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7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Subvencije poslodavcima za zapošljavanje žena do 30 godina.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77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Razvoj programa pripravništva u privatnom i javnom sektoru.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Podsticanje preduzetništva: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79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Obezbeđivanje bespovratnih sredstava i edukacije o preduzetništvu.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8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Mentorski programi za žene koje žele da pokrenu sopstveni posao.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Fleksibilni radni aranžmani: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8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Promocija rada od kuće i fleksibilnog radnog vremena kako bi žene mogle da balansiraju profesionalne i porodične obaveze.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Obrazovni programi i prekvalifikacije: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8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Kreiranje programa stručne obuke za deficitarna zanimanja u lokalnoj privredi.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8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Saradnja sa školama i fakultetima radi usklađivanja nastavnih planova sa potrebama tržišta rada.</w:t>
      </w:r>
      <w:r>
        <w:rPr>
          <w:sz w:val="24"/>
          <w:szCs w:val="24"/>
        </w:rPr>
      </w:r>
      <w:r/>
    </w:p>
    <w:p>
      <w:pPr>
        <w:pStyle w:val="1004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Zaključak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Analiza pokazuje da mlade žene u Čačku imaju nizak nivo ekonomske aktivnosti, sa izraženim izazovima u zapošljavanju i uključivanju u formalnu ekonomiju. Veliki procenat žena ostaje neaktivan, posebno u starosnoj grupi do 24 godine, što ukazuje na potrebu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za ciljanim programima podrške u oblasti zapošljavanja, edukacije i samozapošljavanja.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Povećanjem ekonomske aktivnosti mladih žena kroz adekvatne mere i politike, može se unaprediti socio-ekonomski položaj ove populacije i doprineti razvoju lokalne zajednice.</w:t>
      </w:r>
      <w:r>
        <w:rPr>
          <w:sz w:val="24"/>
          <w:szCs w:val="24"/>
        </w:rPr>
      </w:r>
      <w:r/>
    </w:p>
    <w:p>
      <w:pPr>
        <w:shd w:val="nil" w:color="auto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  <w:r/>
    </w:p>
    <w:p>
      <w:pPr>
        <w:pStyle w:val="1002"/>
        <w:ind w:left="0" w:right="0" w:firstLine="0"/>
        <w:jc w:val="both"/>
        <w:spacing w:before="299" w:after="299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Analiza ekonomske aktivnosti žena od 50 do 65 godina u Čačku</w:t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Starosna grupa žena od 50 do 65 godina u Čačku predstavlja značajnu radnu snagu koja se suočava sa specifičnim izazovima na tržištu rada. Ova starosna kategorija se nalazi na prelazu između aktivnog radnog veka i perioda pripreme za penziju, što često dovo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di do smanjene ekonomske aktivnosti, problema sa zapošljavanjem i poteškoća u zadržavanju posla.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Cilj ove analize je da se pruži detaljan uvid u strukturu ekonomske aktivnosti žena u ovoj starosnoj grupi, uz identifikaciju ključnih izazova i preporuka za njihovo bolje uključivanje u tržište rada.</w:t>
      </w:r>
      <w:r>
        <w:rPr>
          <w:sz w:val="24"/>
          <w:szCs w:val="24"/>
        </w:rPr>
      </w:r>
      <w:r/>
    </w:p>
    <w:p>
      <w:pPr>
        <w:pStyle w:val="1004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1. Pregled ekonomske aktivnosti žena od 50 do 65 godina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Ukupan broj žena starosti od 50 do 65 godina u Čačku iznosi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11.768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a njihova raspodela prema ekonomskoj aktivnosti prikazana je u sledećoj tabeli:</w:t>
      </w:r>
      <w:r>
        <w:rPr>
          <w:sz w:val="24"/>
          <w:szCs w:val="24"/>
        </w:rPr>
      </w:r>
      <w:r/>
    </w:p>
    <w:tbl>
      <w:tblPr>
        <w:tblStyle w:val="1034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81"/>
        <w:gridCol w:w="1359"/>
        <w:gridCol w:w="1333"/>
        <w:gridCol w:w="1041"/>
        <w:gridCol w:w="1273"/>
        <w:gridCol w:w="1556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Starosna grupa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 žena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Aktivne žene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Zaposlene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Nezaposlene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Neaktivne žene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50–59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7.481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5.108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4.534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574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2.373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60–64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4.287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1.526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1.367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2.761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11.768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6.634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5.901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733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5.134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1006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 na tabelu: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Udeo ekonomski aktivnih žena: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87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Od ukupno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11.768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u ovoj starosnoj grupi,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56,38%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je ekonomski aktivno, dok je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43,62%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neaktivno.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8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Starosna grupa od 50 do 59 godina ima viši stepen aktivnosti (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68,30%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), dok u starosnoj grupi 60–64 godine taj procenat značajno opada (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35,60%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).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Stopa zaposlenosti: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9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Od ukupnog broja aktivnih žena,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88,96%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je zaposleno, dok je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11,04%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nezaposleno, što ukazuje na relativno stabilnu radnu angažovanost žena u ovoj starosnoj grupi.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91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Međutim, stopa nezaposlenosti raste sa godinama, što ukazuje na izazove u zadržavanju posla kod starijih radnica.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Visok udeo neaktivnih žena: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9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Gotovo polovina žena u ovoj starosnoj grupi nije aktivna na tržištu rada, što može biti posledica zdravstvenih problema, brige o domaćinstvu ili nemogućnosti ponovnog zapošljavanja nakon gubitka posla.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ind w:left="709" w:right="0" w:firstLine="0"/>
        <w:jc w:val="both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ind w:left="709" w:right="0" w:firstLine="0"/>
        <w:jc w:val="both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/>
    </w:p>
    <w:p>
      <w:pPr>
        <w:pStyle w:val="1004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2. Udeo žena u ekonomskoj aktivnosti po starosnim grupama</w:t>
      </w:r>
      <w:r>
        <w:rPr>
          <w:sz w:val="24"/>
          <w:szCs w:val="24"/>
        </w:rPr>
      </w:r>
      <w:r/>
    </w:p>
    <w:tbl>
      <w:tblPr>
        <w:tblStyle w:val="1034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319"/>
        <w:gridCol w:w="2034"/>
        <w:gridCol w:w="1784"/>
        <w:gridCol w:w="1984"/>
        <w:gridCol w:w="223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Starosna grupa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Udeo aktivnih žena (%)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Udeo zaposlenih (%)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Udeo nezaposlenih (%)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Udeo neaktivnih žena (%)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50–59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68,30%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60,61%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7,69%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31,70%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60–64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35,60%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31,90%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3,71%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64,40%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1006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Komentari: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Trend pada ekonomske aktivnosti: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9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Sa porastom godina dolazi do značajnog smanjenja učešća žena na tržištu rada – u grupi 60–64 godine više od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64%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je neaktivno.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9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Razlog za ovo može biti ranije penzionisanje, zdravstveni problemi ili nemogućnost zapošljavanja zbog starosne diskriminacije.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Nezaposlenost raste sa godinama: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9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Starije žene (60–64 godine) imaju nižu stopu zaposlenosti i veću verovatnoću da budu trajno neaktivne zbog nedostatka prilika na tržištu rada.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Visok udeo neaktivnih žena: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10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Veliki broj žena starijih od 50 godina ne učestvuje u formalnoj ekonomiji, što ukazuje na potrebu za dodatnim podsticajima za zadržavanje na tržištu rada.</w:t>
      </w:r>
      <w:r>
        <w:rPr>
          <w:sz w:val="24"/>
          <w:szCs w:val="24"/>
        </w:rPr>
      </w:r>
      <w:r/>
    </w:p>
    <w:p>
      <w:pPr>
        <w:pStyle w:val="1004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3. Ključni izazovi ekonomske aktivnosti žena od 50 do 65 godina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Rano povlačenje sa tržišta rada: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10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Mnoge žene se odlučuju za odlazak u prevremenu penziju zbog iscrpljujućih radnih uslova i ograničenih mogućnosti za dalji profesionalni razvoj.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Diskriminacija starijih žena: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10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Starije žene često nailaze na prepreke u pronalaženju posla zbog predrasuda poslodavaca u vezi sa njihovom produktivnošću i fleksibilnošću.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Nedostatak prilika za usavršavanje: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10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Žene u ovoj starosnoj grupi često nisu uključene u programe dodatnog obrazovanja i prekvalifikacije, što otežava njihovu konkurentnost na tržištu rada.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Društvene i porodične obaveze: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10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Veliki broj žena u ovoj starosnoj grupi posvećen je neplaćenim kućnim poslovima, brigom o unucima i starijim članovima porodice, što ograničava njihovu radnu aktivnost.</w:t>
      </w:r>
      <w:r>
        <w:rPr>
          <w:sz w:val="24"/>
          <w:szCs w:val="24"/>
        </w:rPr>
      </w:r>
      <w:r/>
    </w:p>
    <w:p>
      <w:pPr>
        <w:pStyle w:val="1004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4. Preporuke za unapređenje ekonomske aktivnosti žena od 50 do 65 godina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Podsticanje zapošljavanja starijih žena: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11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Subvencije poslodavcima koji zapošljavaju starije radnike.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111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Kreiranje programa za mentorstvo i prenos znanja na mlađe generacije.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Fleksibilni radni aranžmani: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11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Uvođenje part-time poslova i rada od kuće kako bi žene mogle da ostanu aktivne na tržištu rada uz smanjen intenzitet radnih obaveza.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Programi prekvalifikacije i osnaživanja: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11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Organizovanje specijalizovanih programa obuke u oblastima sa manjkom radne snage (npr. zdravstvena nega, turizam, uslužne delatnosti).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11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Fokus na digitalne veštine i preduzetništvo kako bi se povećale mogućnosti za samozapošljavanje.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Podrška za samozapošljavanje: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11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Pružanje bespovratnih sredstava i podrške ženama koje žele da pokrenu sopstveni biznis u sektorima kao što su poljoprivreda, zanati i usluge.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Podizanje svesti o važnosti radnog angažmana: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12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Promocija značaja profesionalnog razvoja i motivacija žena da ostanu aktivne što duže, kroz kampanje i informativne aktivnosti.</w:t>
      </w:r>
      <w:r>
        <w:rPr>
          <w:sz w:val="24"/>
          <w:szCs w:val="24"/>
        </w:rPr>
      </w:r>
      <w:r/>
    </w:p>
    <w:p>
      <w:pPr>
        <w:pStyle w:val="1004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Zaključak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Ekonomska aktivnost žena od 50 do 65 godina u Čačku je relativno niska, a najveći izazovi uključuju rano napuštanje tržišta rada, visoku stopu neaktivnosti i ograničene prilike za profesionalni razvoj.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Implementacija ciljanih mera podrške, uključujući programe prekvalifikacije, fleksibilne radne aranžmane i subvencije za poslodavce, može značajno doprineti povećanju ekonomske aktivnosti ove starosne grupe i unapređenju njihovog socio-ekonomskog statusa.</w:t>
      </w:r>
      <w:r>
        <w:rPr>
          <w:sz w:val="24"/>
          <w:szCs w:val="24"/>
        </w:rPr>
      </w:r>
      <w:r/>
    </w:p>
    <w:p>
      <w:pPr>
        <w:shd w:val="nil" w:color="auto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  <w:r/>
    </w:p>
    <w:p>
      <w:pPr>
        <w:pStyle w:val="1006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Analiza stepena zaposlenosti žena starosti od 20 do 65 godina u gradu Čačku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Na osnovu dostavljenih podataka, sprovedena je analiza zaposlenosti žena u starosnoj grupi od 20 do 65 godina u Čačku. Analiza uključuje apsolutne brojeve zaposlenih žena, procente zaposlenosti u odnosu na ukupan broj žena u ovoj starosnoj grupi, kao i pro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cente zaposlenosti po pojedinačnim starosnim kategorijama.</w:t>
      </w:r>
      <w:r/>
    </w:p>
    <w:p>
      <w:pPr>
        <w:pStyle w:val="1006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Tabela: Broj žena i procenat zaposlenosti po starosnim kategorijama (Čačak, 2022)</w:t>
      </w:r>
      <w:r/>
    </w:p>
    <w:tbl>
      <w:tblPr>
        <w:tblStyle w:val="1034"/>
        <w:tblW w:w="0" w:type="auto"/>
        <w:jc w:val="center"/>
        <w:tblInd w:w="-1297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691"/>
        <w:gridCol w:w="1079"/>
        <w:gridCol w:w="1070"/>
        <w:gridCol w:w="3218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9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Starosna grupa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Ukupan broj žena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Zaposlene žene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1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% zaposlenih u odnosu na broj žena po starosnoj grupi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9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20–24 godine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2.451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690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1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28,15%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9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25–29 godina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2.636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1.691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1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64,13%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9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30–49 godina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13.897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10.341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1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74,42%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9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50–59 godina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7.481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4.534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1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60,60%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9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60–64 godine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4.287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1.367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1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31,89%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9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Ukupno (20–65 godina)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30.752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18.623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1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60,55%</w:t>
            </w:r>
            <w:r/>
          </w:p>
        </w:tc>
      </w:tr>
    </w:tbl>
    <w:p>
      <w:pPr>
        <w:pStyle w:val="1006"/>
        <w:ind w:left="0" w:right="0" w:firstLine="0"/>
        <w:spacing w:before="281" w:after="281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673162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285447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940424" cy="3673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67.8pt;height:289.2pt;mso-wrap-distance-left:0.0pt;mso-wrap-distance-top:0.0pt;mso-wrap-distance-right:0.0pt;mso-wrap-distance-bottom:0.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/>
    </w:p>
    <w:p>
      <w:pPr>
        <w:pStyle w:val="1006"/>
        <w:ind w:left="0" w:right="0" w:firstLine="0"/>
        <w:spacing w:before="281" w:after="281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Analiza rezultata:</w:t>
      </w:r>
      <w:r/>
    </w:p>
    <w:p>
      <w:pPr>
        <w:pStyle w:val="1008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 Ukupan procenat zaposlenih žena (20–65 godina):</w:t>
      </w:r>
      <w:r/>
    </w:p>
    <w:p>
      <w:pPr>
        <w:pStyle w:val="1182"/>
        <w:numPr>
          <w:ilvl w:val="0"/>
          <w:numId w:val="159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Od ukupno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30.752 žene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zaposleno je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18.623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čini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60,55%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pStyle w:val="1182"/>
        <w:numPr>
          <w:ilvl w:val="0"/>
          <w:numId w:val="160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Ovaj procenat ukazuje na relativno visok nivo ekonomske aktivnosti žena u Čačku u poređenju sa prosekom u drugim analiziranim gradovima i opštinama.</w:t>
      </w:r>
      <w:r/>
    </w:p>
    <w:p>
      <w:pPr>
        <w:pStyle w:val="1182"/>
        <w:numPr>
          <w:ilvl w:val="0"/>
          <w:numId w:val="161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Ipak, postoji prostor za unapređenje zapošljivosti žena kroz dodatne mere podrške.</w:t>
      </w:r>
      <w:r/>
    </w:p>
    <w:p>
      <w:pPr>
        <w:pStyle w:val="1008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2. Zaposlenost po starosnim grupama:</w:t>
      </w:r>
      <w:r/>
    </w:p>
    <w:p>
      <w:pPr>
        <w:pStyle w:val="1182"/>
        <w:numPr>
          <w:ilvl w:val="0"/>
          <w:numId w:val="162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Najveći procenat zaposlenosti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beleži se u grupi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30–49 godina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gde je zaposleno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74,42%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žena, što ukazuje na punu radnu aktivnost ove populacije.</w:t>
      </w:r>
      <w:r/>
    </w:p>
    <w:p>
      <w:pPr>
        <w:pStyle w:val="1182"/>
        <w:numPr>
          <w:ilvl w:val="0"/>
          <w:numId w:val="163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Najniži procenat zaposlenosti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primećen je kod žena u kategoriji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20–24 godine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(28,15%), što ukazuje na izazove u prelasku iz obrazovnog u radni status.</w:t>
      </w:r>
      <w:r/>
    </w:p>
    <w:p>
      <w:pPr>
        <w:pStyle w:val="1182"/>
        <w:numPr>
          <w:ilvl w:val="0"/>
          <w:numId w:val="164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Kod žena u uzrastu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50–59 godina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zaposlenost je na nivou od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60,60%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dok se kod starijih od 60 godina zaposlenost značajno smanjuje na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31,89%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je očekivano s obzirom na pripreme za odlazak u penziju.</w:t>
      </w:r>
      <w:r/>
    </w:p>
    <w:p>
      <w:pPr>
        <w:pStyle w:val="1008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 Mlade žene (20–29 godina):</w:t>
      </w:r>
      <w:r/>
    </w:p>
    <w:p>
      <w:pPr>
        <w:pStyle w:val="1182"/>
        <w:numPr>
          <w:ilvl w:val="0"/>
          <w:numId w:val="165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 starosnoj grupi od 20 do 29 godina ukupno je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5.087 žena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od kojih je zaposleno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2.381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čini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46,81%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ukupne zaposlenosti ove grupe.</w:t>
      </w:r>
      <w:r/>
    </w:p>
    <w:p>
      <w:pPr>
        <w:pStyle w:val="1182"/>
        <w:numPr>
          <w:ilvl w:val="0"/>
          <w:numId w:val="166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Ovi podaci ukazuju na značajnu potrebu za merama podrške pri zapošljavanju mladih žena kroz edukaciju, stručnu praksu i pripravničke programe.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Zaposlenost žena u Čačku starosti od 20 do 65 godina iznosi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60,55%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ukazuje na solidan nivo ekonomske aktivnosti.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Glavne prepreke u zapošljavanju ogledaju se u niskoj zaposlenosti mlađih žena (20–24 godine), dok žene u srednjem radnom dobu (30–49 godina) beleže najviše stope zaposlenosti.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Fokus lokalnih politika treba da bude na podsticanju zapošljavanja mladih žena i podršci ženama starijim od 50 godina kroz fleksibilne radne modele i programe prekvalifikacije.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Poboljšanje ekonomskog položaja žena u Čačku zahteva sistemski pristup koji uključuje obrazovanje, podršku poslodavcima i razvoj sektora koji pružaju veće mogućnosti za žensku radnu snagu.</w:t>
      </w:r>
      <w:r/>
    </w:p>
    <w:p>
      <w:pPr>
        <w:pStyle w:val="1002"/>
        <w:ind w:left="0" w:right="0" w:firstLine="0"/>
        <w:jc w:val="both"/>
        <w:spacing w:before="299" w:after="299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  <w:r/>
    </w:p>
    <w:p>
      <w:pPr>
        <w:pStyle w:val="1002"/>
        <w:ind w:left="0" w:right="0" w:firstLine="0"/>
        <w:jc w:val="both"/>
        <w:spacing w:before="299" w:after="299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  <w:r/>
    </w:p>
    <w:p>
      <w:pPr>
        <w:shd w:val="nil" w:color="auto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  <w:r/>
    </w:p>
    <w:p>
      <w:pPr>
        <w:pStyle w:val="1002"/>
        <w:ind w:left="0" w:right="0" w:firstLine="0"/>
        <w:jc w:val="both"/>
        <w:spacing w:before="299" w:after="299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Zaključak o ekonomskoj aktivnosti žena u Čačku</w:t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Analiza ekonomske aktivnosti žena u Čačku ukazuje na niz ključnih trendova i izazova koji značajno utiču na socio-ekonomski položaj žena u ovom gradu. Iako žene čine više od polovine ukupnog stanovništva, njihov nivo ekonomske aktivnosti je i dalje značajn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 niži u poređenju sa muškarcima, što ukazuje na postojanje brojnih prepreka koje ograničavaju njihovo puno učešće na tržištu rada.</w:t>
      </w:r>
      <w:r>
        <w:rPr>
          <w:sz w:val="24"/>
          <w:szCs w:val="24"/>
        </w:rPr>
      </w:r>
      <w:r/>
    </w:p>
    <w:p>
      <w:pPr>
        <w:pStyle w:val="1004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Ključni nalazi analize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Nizak nivo ekonomske aktivnosti žena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12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Od ukupnog broja žena u Čačku, samo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39,08%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je ekonomski aktivno, što znači da više od polovine žena nije uključeno u formalnu ekonomiju.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12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Najveći broj neaktivnih žena nalazi se u starijim starosnim grupama (50+ godina), ali je zabrinjavajuće i visoko učešće neaktivnih u mlađim kategorijama, što ukazuje na poteškoće u tranziciji iz obrazovanja u zaposlenje.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Visoka nezaposlenost među ženama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12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Stopa nezaposlenosti među ekonomski aktivnim ženama iznosi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11,79%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što ukazuje na izazove u pronalaženju odgovarajućeg zaposlenja, posebno u sektorima koji tradicionalno zapošljavaju više muškaraca.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12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Nezaposlenost je izraženija u starosnoj grupi do 30 godina, gde je više od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18%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nezaposleno, dok starije žene često ostaju dugotrajno nezaposlene i neaktivne.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Neplaćeni rad i kućne obaveze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12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Značajan procenat žena u Čačku obavlja neplaćene kućne poslove (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8,65%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), što direktno utiče na njihovu mogućnost da aktivno učestvuju u tržištu rada.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129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Društvena očekivanja i tradicionalne uloge doprinose visokom udelu neaktivnih žena koje su posvećene brizi o porodici.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Obrazovna struktura i tržište rada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131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Većina žena u Čačku ima završeno srednje obrazovanje, dok je udeo žena sa visokim obrazovanjem značajno niži.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13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Nedostatak kvalifikacija prilagođenih potrebama tržišta rada predstavlja dodatnu prepreku za zapošljavanje žena, posebno u oblasti preduzetništva i novih tehnologija.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Starosne razlike u ekonomskoj aktivnosti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13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Najveća ekonomska aktivnost beleži se u starosnoj grupi od 30 do 49 godina, dok žene starije od 50 godina u velikom broju napuštaju tržište rada, što ukazuje na potrebu za merama zadržavanja starijih radnica u ekonomiji.</w:t>
      </w:r>
      <w:r>
        <w:rPr>
          <w:sz w:val="24"/>
          <w:szCs w:val="24"/>
        </w:rPr>
      </w:r>
      <w:r/>
    </w:p>
    <w:p>
      <w:pPr>
        <w:pStyle w:val="1004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Ključni izazovi za poboljšanje ekonomske aktivnosti žena u Čačku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Nedovoljna fleksibilnost tržišta rada: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13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Ograničene mogućnosti za rad sa skraćenim radnim vremenom i rad od kuće otežavaju ženama usklađivanje profesionalnih i porodičnih obaveza.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Nedostatak programa za prekvalifikaciju i doškolovavanje: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13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Potrebni su programi usmereni ka osposobljavanju žena za nova zanimanja u oblastima gde postoji potražnja, poput IT sektora, turizma i preduzetništva.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Niska stopa preduzetništva žena: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14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Žene u Čačku retko pokreću sopstveni biznis zbog nedostatka finansijskih sredstava, poslovnih veština i podrške kroz lokalne inicijative.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Društveni stereotipi i prepreke: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14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Tradicionalni stavovi i rodni stereotipi često ograničavaju mogućnosti žena da napreduju na radnom mestu ili da se zaposle u sektorima gde dominiraju muškarci.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Težak povratak na tržište rada: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14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Mnoge žene koje su bile privremeno neaktivne zbog brige o deci ili starijim članovima porodice imaju problem sa ponovnim uključivanjem u tržište rada.</w:t>
      </w:r>
      <w:r>
        <w:rPr>
          <w:sz w:val="24"/>
          <w:szCs w:val="24"/>
        </w:rPr>
      </w:r>
      <w:r/>
    </w:p>
    <w:p>
      <w:pPr>
        <w:pStyle w:val="1004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Preporuke za unapređenje ekonomske aktivnosti žena u Čačku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Podrška samozapošljavanju i preduzetništvu: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14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Kreiranje programa finansijske podrške i besplatne edukacije za žene koje žele da pokrenu sopstveni posao.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147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Pružanje poreskih olakšica i subvencija za žene preduzetnice.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Fleksibilni radni aranžmani: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149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Uvođenje fleksibilnog radnog vremena i rada od kuće kako bi se ženama omogućila bolja ravnoteža između profesionalnog i privatnog života.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Obrazovni programi i prekvalifikacije: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151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Organizacija stručnih obuka i kurseva za žene koje žele da unaprede svoje veštine i konkurentnost na tržištu rada.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15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Jačanje saradnje sa lokalnim preduzećima u cilju povezivanja obrazovanja i tržišta rada.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Podsticanje zapošljavanja žena u javnom sektoru: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15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Uvođenje politika afirmativne akcije za žene u javnim institucijama i preduzećima u vlasništvu grada.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Promocija rodne ravnopravnosti: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15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Pokretanje kampanja koje promovišu ravnopravnost u zapošljavanju i osnaživanje žena u privredi.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Razvoj socijalnih usluga:</w:t>
      </w:r>
      <w:r>
        <w:rPr>
          <w:sz w:val="24"/>
          <w:szCs w:val="24"/>
        </w:rPr>
      </w:r>
      <w:r/>
    </w:p>
    <w:p>
      <w:pPr>
        <w:pStyle w:val="1182"/>
        <w:numPr>
          <w:ilvl w:val="0"/>
          <w:numId w:val="15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Povećanje broja predškolskih ustanova i ustanova za starateljsku negu kako bi žene imale više mogućnosti da učestvuju na tržištu rada.</w:t>
      </w:r>
      <w:r>
        <w:rPr>
          <w:sz w:val="24"/>
          <w:szCs w:val="24"/>
        </w:rPr>
      </w:r>
      <w:r/>
    </w:p>
    <w:p>
      <w:pPr>
        <w:pStyle w:val="1004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Zaključak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Ekonomska aktivnost žena u Čačku suočava se sa brojnim izazovima, uključujući visoku stopu neaktivnosti, ograničene mogućnosti zapošljavanja, nedovoljnu prilagođenost tržišta rada potrebama žena i neusklađenost obrazovne strukture sa zahtevima tržišta rada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Kako bi se poboljšala situacija, neophodno je sprovođenje ciljanih politika i programa koji će podržati žene u njihovom ekonomskom osnaživanju. Povećanjem zaposlenosti, podsticanjem preduzetništva i omogućavanjem fleksibilnih radnih aranžmana, žene u Čačku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bi mogle značajno doprineti ekonomskom razvoju grada i poboljšati sopstveni kvalitet života.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Ulaganje u ekonomsko osnaživanje žena ne samo da bi donelo korist pojedincima i njihovim porodicama, već bi imalo i širi pozitivan uticaj na čitavu lokalnu zajednicu kroz povećanje ekonomskog rasta i smanjenje siromaštva.</w:t>
      </w:r>
      <w:r>
        <w:rPr>
          <w:sz w:val="24"/>
          <w:szCs w:val="24"/>
        </w:rPr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992" w:right="850" w:bottom="1134" w:left="1701" w:header="425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0"/>
      <w:jc w:val="right"/>
    </w:pPr>
    <w:fldSimple w:instr="PAGE \* MERGEFORMAT">
      <w:r>
        <w:t xml:space="preserve">1</w:t>
      </w:r>
    </w:fldSimple>
    <w:r/>
    <w:r/>
  </w:p>
  <w:p>
    <w:pPr>
      <w:pStyle w:val="1030"/>
    </w:pP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8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59165" cy="176546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7662433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37655" r="0" b="39089"/>
                      <a:stretch/>
                    </pic:blipFill>
                    <pic:spPr bwMode="auto">
                      <a:xfrm flipH="0" flipV="0">
                        <a:off x="0" y="0"/>
                        <a:ext cx="759161" cy="1765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9.8pt;height:13.9pt;mso-wrap-distance-left:0.0pt;mso-wrap-distance-top:0.0pt;mso-wrap-distance-right:0.0pt;mso-wrap-distance-bottom:0.0pt;" stroked="false">
              <v:path textboxrect="0,0,0,0"/>
              <v:imagedata r:id="rId1" o:title=""/>
            </v:shape>
          </w:pict>
        </mc:Fallback>
      </mc:AlternateContent>
      <w:t xml:space="preserve">powered by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344574" cy="186575"/>
              <wp:effectExtent l="0" t="0" r="0" b="0"/>
              <wp:docPr id="2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58959255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rcRect l="17992" t="28202" r="17670" b="36962"/>
                      <a:stretch/>
                    </pic:blipFill>
                    <pic:spPr bwMode="auto">
                      <a:xfrm flipH="0" flipV="0">
                        <a:off x="0" y="0"/>
                        <a:ext cx="344574" cy="1865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7.1pt;height:14.7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  <w:r/>
    <w:r/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2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5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5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6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6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6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6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7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7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7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7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7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7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7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7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7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7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8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8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  <w:num w:numId="165">
    <w:abstractNumId w:val="164"/>
  </w:num>
  <w:num w:numId="166">
    <w:abstractNumId w:val="165"/>
  </w:num>
  <w:num w:numId="167">
    <w:abstractNumId w:val="166"/>
  </w:num>
  <w:num w:numId="168">
    <w:abstractNumId w:val="167"/>
  </w:num>
  <w:num w:numId="169">
    <w:abstractNumId w:val="168"/>
  </w:num>
  <w:num w:numId="170">
    <w:abstractNumId w:val="169"/>
  </w:num>
  <w:num w:numId="171">
    <w:abstractNumId w:val="170"/>
  </w:num>
  <w:num w:numId="172">
    <w:abstractNumId w:val="171"/>
  </w:num>
  <w:num w:numId="173">
    <w:abstractNumId w:val="172"/>
  </w:num>
  <w:num w:numId="174">
    <w:abstractNumId w:val="173"/>
  </w:num>
  <w:num w:numId="175">
    <w:abstractNumId w:val="174"/>
  </w:num>
  <w:num w:numId="176">
    <w:abstractNumId w:val="175"/>
  </w:num>
  <w:num w:numId="177">
    <w:abstractNumId w:val="176"/>
  </w:num>
  <w:num w:numId="178">
    <w:abstractNumId w:val="177"/>
  </w:num>
  <w:num w:numId="179">
    <w:abstractNumId w:val="178"/>
  </w:num>
  <w:num w:numId="180">
    <w:abstractNumId w:val="179"/>
  </w:num>
  <w:num w:numId="181">
    <w:abstractNumId w:val="180"/>
  </w:num>
  <w:num w:numId="182">
    <w:abstractNumId w:val="1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02">
    <w:name w:val="Heading 1"/>
    <w:basedOn w:val="1178"/>
    <w:next w:val="1178"/>
    <w:link w:val="10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003">
    <w:name w:val="Heading 1 Char"/>
    <w:link w:val="1002"/>
    <w:uiPriority w:val="9"/>
    <w:rPr>
      <w:rFonts w:ascii="Arial" w:hAnsi="Arial" w:eastAsia="Arial" w:cs="Arial"/>
      <w:sz w:val="40"/>
      <w:szCs w:val="40"/>
    </w:rPr>
  </w:style>
  <w:style w:type="paragraph" w:styleId="1004">
    <w:name w:val="Heading 2"/>
    <w:basedOn w:val="1178"/>
    <w:next w:val="1178"/>
    <w:link w:val="10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005">
    <w:name w:val="Heading 2 Char"/>
    <w:link w:val="1004"/>
    <w:uiPriority w:val="9"/>
    <w:rPr>
      <w:rFonts w:ascii="Arial" w:hAnsi="Arial" w:eastAsia="Arial" w:cs="Arial"/>
      <w:sz w:val="34"/>
    </w:rPr>
  </w:style>
  <w:style w:type="paragraph" w:styleId="1006">
    <w:name w:val="Heading 3"/>
    <w:basedOn w:val="1178"/>
    <w:next w:val="1178"/>
    <w:link w:val="10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007">
    <w:name w:val="Heading 3 Char"/>
    <w:link w:val="1006"/>
    <w:uiPriority w:val="9"/>
    <w:rPr>
      <w:rFonts w:ascii="Arial" w:hAnsi="Arial" w:eastAsia="Arial" w:cs="Arial"/>
      <w:sz w:val="30"/>
      <w:szCs w:val="30"/>
    </w:rPr>
  </w:style>
  <w:style w:type="paragraph" w:styleId="1008">
    <w:name w:val="Heading 4"/>
    <w:basedOn w:val="1178"/>
    <w:next w:val="1178"/>
    <w:link w:val="10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009">
    <w:name w:val="Heading 4 Char"/>
    <w:link w:val="1008"/>
    <w:uiPriority w:val="9"/>
    <w:rPr>
      <w:rFonts w:ascii="Arial" w:hAnsi="Arial" w:eastAsia="Arial" w:cs="Arial"/>
      <w:b/>
      <w:bCs/>
      <w:sz w:val="26"/>
      <w:szCs w:val="26"/>
    </w:rPr>
  </w:style>
  <w:style w:type="paragraph" w:styleId="1010">
    <w:name w:val="Heading 5"/>
    <w:basedOn w:val="1178"/>
    <w:next w:val="1178"/>
    <w:link w:val="10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011">
    <w:name w:val="Heading 5 Char"/>
    <w:link w:val="1010"/>
    <w:uiPriority w:val="9"/>
    <w:rPr>
      <w:rFonts w:ascii="Arial" w:hAnsi="Arial" w:eastAsia="Arial" w:cs="Arial"/>
      <w:b/>
      <w:bCs/>
      <w:sz w:val="24"/>
      <w:szCs w:val="24"/>
    </w:rPr>
  </w:style>
  <w:style w:type="paragraph" w:styleId="1012">
    <w:name w:val="Heading 6"/>
    <w:basedOn w:val="1178"/>
    <w:next w:val="1178"/>
    <w:link w:val="10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013">
    <w:name w:val="Heading 6 Char"/>
    <w:link w:val="1012"/>
    <w:uiPriority w:val="9"/>
    <w:rPr>
      <w:rFonts w:ascii="Arial" w:hAnsi="Arial" w:eastAsia="Arial" w:cs="Arial"/>
      <w:b/>
      <w:bCs/>
      <w:sz w:val="22"/>
      <w:szCs w:val="22"/>
    </w:rPr>
  </w:style>
  <w:style w:type="paragraph" w:styleId="1014">
    <w:name w:val="Heading 7"/>
    <w:basedOn w:val="1178"/>
    <w:next w:val="1178"/>
    <w:link w:val="10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015">
    <w:name w:val="Heading 7 Char"/>
    <w:link w:val="10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016">
    <w:name w:val="Heading 8"/>
    <w:basedOn w:val="1178"/>
    <w:next w:val="1178"/>
    <w:link w:val="10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017">
    <w:name w:val="Heading 8 Char"/>
    <w:link w:val="1016"/>
    <w:uiPriority w:val="9"/>
    <w:rPr>
      <w:rFonts w:ascii="Arial" w:hAnsi="Arial" w:eastAsia="Arial" w:cs="Arial"/>
      <w:i/>
      <w:iCs/>
      <w:sz w:val="22"/>
      <w:szCs w:val="22"/>
    </w:rPr>
  </w:style>
  <w:style w:type="paragraph" w:styleId="1018">
    <w:name w:val="Heading 9"/>
    <w:basedOn w:val="1178"/>
    <w:next w:val="1178"/>
    <w:link w:val="10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19">
    <w:name w:val="Heading 9 Char"/>
    <w:link w:val="1018"/>
    <w:uiPriority w:val="9"/>
    <w:rPr>
      <w:rFonts w:ascii="Arial" w:hAnsi="Arial" w:eastAsia="Arial" w:cs="Arial"/>
      <w:i/>
      <w:iCs/>
      <w:sz w:val="21"/>
      <w:szCs w:val="21"/>
    </w:rPr>
  </w:style>
  <w:style w:type="paragraph" w:styleId="1020">
    <w:name w:val="Title"/>
    <w:basedOn w:val="1178"/>
    <w:next w:val="1178"/>
    <w:link w:val="10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021">
    <w:name w:val="Title Char"/>
    <w:link w:val="1020"/>
    <w:uiPriority w:val="10"/>
    <w:rPr>
      <w:sz w:val="48"/>
      <w:szCs w:val="48"/>
    </w:rPr>
  </w:style>
  <w:style w:type="paragraph" w:styleId="1022">
    <w:name w:val="Subtitle"/>
    <w:basedOn w:val="1178"/>
    <w:next w:val="1178"/>
    <w:link w:val="1023"/>
    <w:uiPriority w:val="11"/>
    <w:qFormat/>
    <w:pPr>
      <w:spacing w:before="200" w:after="200"/>
    </w:pPr>
    <w:rPr>
      <w:sz w:val="24"/>
      <w:szCs w:val="24"/>
    </w:rPr>
  </w:style>
  <w:style w:type="character" w:styleId="1023">
    <w:name w:val="Subtitle Char"/>
    <w:link w:val="1022"/>
    <w:uiPriority w:val="11"/>
    <w:rPr>
      <w:sz w:val="24"/>
      <w:szCs w:val="24"/>
    </w:rPr>
  </w:style>
  <w:style w:type="paragraph" w:styleId="1024">
    <w:name w:val="Quote"/>
    <w:basedOn w:val="1178"/>
    <w:next w:val="1178"/>
    <w:link w:val="1025"/>
    <w:uiPriority w:val="29"/>
    <w:qFormat/>
    <w:pPr>
      <w:ind w:left="720" w:right="720"/>
    </w:pPr>
    <w:rPr>
      <w:i/>
    </w:rPr>
  </w:style>
  <w:style w:type="character" w:styleId="1025">
    <w:name w:val="Quote Char"/>
    <w:link w:val="1024"/>
    <w:uiPriority w:val="29"/>
    <w:rPr>
      <w:i/>
    </w:rPr>
  </w:style>
  <w:style w:type="paragraph" w:styleId="1026">
    <w:name w:val="Intense Quote"/>
    <w:basedOn w:val="1178"/>
    <w:next w:val="1178"/>
    <w:link w:val="10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27">
    <w:name w:val="Intense Quote Char"/>
    <w:link w:val="1026"/>
    <w:uiPriority w:val="30"/>
    <w:rPr>
      <w:i/>
    </w:rPr>
  </w:style>
  <w:style w:type="paragraph" w:styleId="1028">
    <w:name w:val="Header"/>
    <w:basedOn w:val="1178"/>
    <w:link w:val="10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029">
    <w:name w:val="Header Char"/>
    <w:link w:val="1028"/>
    <w:uiPriority w:val="99"/>
  </w:style>
  <w:style w:type="paragraph" w:styleId="1030">
    <w:name w:val="Footer"/>
    <w:basedOn w:val="1178"/>
    <w:link w:val="10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031">
    <w:name w:val="Footer Char"/>
    <w:link w:val="1030"/>
    <w:uiPriority w:val="99"/>
  </w:style>
  <w:style w:type="paragraph" w:styleId="1032">
    <w:name w:val="Caption"/>
    <w:basedOn w:val="1178"/>
    <w:next w:val="11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33">
    <w:name w:val="Caption Char"/>
    <w:basedOn w:val="1032"/>
    <w:link w:val="1030"/>
    <w:uiPriority w:val="99"/>
  </w:style>
  <w:style w:type="table" w:styleId="1034">
    <w:name w:val="Table Grid"/>
    <w:basedOn w:val="117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5">
    <w:name w:val="Table Grid Light"/>
    <w:basedOn w:val="11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6">
    <w:name w:val="Plain Table 1"/>
    <w:basedOn w:val="11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37">
    <w:name w:val="Plain Table 2"/>
    <w:basedOn w:val="11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38">
    <w:name w:val="Plain Table 3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39">
    <w:name w:val="Plain Table 4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0">
    <w:name w:val="Plain Table 5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41">
    <w:name w:val="Grid Table 1 Light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2">
    <w:name w:val="Grid Table 1 Light - Accent 1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3">
    <w:name w:val="Grid Table 1 Light - Accent 2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4">
    <w:name w:val="Grid Table 1 Light - Accent 3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5">
    <w:name w:val="Grid Table 1 Light - Accent 4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6">
    <w:name w:val="Grid Table 1 Light - Accent 5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7">
    <w:name w:val="Grid Table 1 Light - Accent 6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8">
    <w:name w:val="Grid Table 2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9">
    <w:name w:val="Grid Table 2 - Accent 1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0">
    <w:name w:val="Grid Table 2 - Accent 2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1">
    <w:name w:val="Grid Table 2 - Accent 3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2">
    <w:name w:val="Grid Table 2 - Accent 4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3">
    <w:name w:val="Grid Table 2 - Accent 5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4">
    <w:name w:val="Grid Table 2 - Accent 6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5">
    <w:name w:val="Grid Table 3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6">
    <w:name w:val="Grid Table 3 - Accent 1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7">
    <w:name w:val="Grid Table 3 - Accent 2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8">
    <w:name w:val="Grid Table 3 - Accent 3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9">
    <w:name w:val="Grid Table 3 - Accent 4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0">
    <w:name w:val="Grid Table 3 - Accent 5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>
    <w:name w:val="Grid Table 3 - Accent 6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2">
    <w:name w:val="Grid Table 4"/>
    <w:basedOn w:val="11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63">
    <w:name w:val="Grid Table 4 - Accent 1"/>
    <w:basedOn w:val="11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64">
    <w:name w:val="Grid Table 4 - Accent 2"/>
    <w:basedOn w:val="11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65">
    <w:name w:val="Grid Table 4 - Accent 3"/>
    <w:basedOn w:val="11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66">
    <w:name w:val="Grid Table 4 - Accent 4"/>
    <w:basedOn w:val="11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67">
    <w:name w:val="Grid Table 4 - Accent 5"/>
    <w:basedOn w:val="11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68">
    <w:name w:val="Grid Table 4 - Accent 6"/>
    <w:basedOn w:val="11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69">
    <w:name w:val="Grid Table 5 Dark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70">
    <w:name w:val="Grid Table 5 Dark- Accent 1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1071">
    <w:name w:val="Grid Table 5 Dark - Accent 2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072">
    <w:name w:val="Grid Table 5 Dark - Accent 3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73">
    <w:name w:val="Grid Table 5 Dark- Accent 4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74">
    <w:name w:val="Grid Table 5 Dark - Accent 5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1075">
    <w:name w:val="Grid Table 5 Dark - Accent 6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76">
    <w:name w:val="Grid Table 6 Colorful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77">
    <w:name w:val="Grid Table 6 Colorful - Accent 1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78">
    <w:name w:val="Grid Table 6 Colorful - Accent 2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79">
    <w:name w:val="Grid Table 6 Colorful - Accent 3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80">
    <w:name w:val="Grid Table 6 Colorful - Accent 4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81">
    <w:name w:val="Grid Table 6 Colorful - Accent 5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82">
    <w:name w:val="Grid Table 6 Colorful - Accent 6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83">
    <w:name w:val="Grid Table 7 Colorful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4">
    <w:name w:val="Grid Table 7 Colorful - Accent 1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5">
    <w:name w:val="Grid Table 7 Colorful - Accent 2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6">
    <w:name w:val="Grid Table 7 Colorful - Accent 3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7">
    <w:name w:val="Grid Table 7 Colorful - Accent 4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8">
    <w:name w:val="Grid Table 7 Colorful - Accent 5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9">
    <w:name w:val="Grid Table 7 Colorful - Accent 6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0">
    <w:name w:val="List Table 1 Light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1">
    <w:name w:val="List Table 1 Light - Accent 1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2">
    <w:name w:val="List Table 1 Light - Accent 2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3">
    <w:name w:val="List Table 1 Light - Accent 3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4">
    <w:name w:val="List Table 1 Light - Accent 4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5">
    <w:name w:val="List Table 1 Light - Accent 5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6">
    <w:name w:val="List Table 1 Light - Accent 6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7">
    <w:name w:val="List Table 2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98">
    <w:name w:val="List Table 2 - Accent 1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99">
    <w:name w:val="List Table 2 - Accent 2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00">
    <w:name w:val="List Table 2 - Accent 3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01">
    <w:name w:val="List Table 2 - Accent 4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02">
    <w:name w:val="List Table 2 - Accent 5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03">
    <w:name w:val="List Table 2 - Accent 6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04">
    <w:name w:val="List Table 3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5">
    <w:name w:val="List Table 3 - Accent 1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6">
    <w:name w:val="List Table 3 - Accent 2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7">
    <w:name w:val="List Table 3 - Accent 3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8">
    <w:name w:val="List Table 3 - Accent 4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9">
    <w:name w:val="List Table 3 - Accent 5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0">
    <w:name w:val="List Table 3 - Accent 6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1">
    <w:name w:val="List Table 4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2">
    <w:name w:val="List Table 4 - Accent 1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3">
    <w:name w:val="List Table 4 - Accent 2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4">
    <w:name w:val="List Table 4 - Accent 3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5">
    <w:name w:val="List Table 4 - Accent 4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6">
    <w:name w:val="List Table 4 - Accent 5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7">
    <w:name w:val="List Table 4 - Accent 6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8">
    <w:name w:val="List Table 5 Dark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19">
    <w:name w:val="List Table 5 Dark - Accent 1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0">
    <w:name w:val="List Table 5 Dark - Accent 2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1">
    <w:name w:val="List Table 5 Dark - Accent 3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2">
    <w:name w:val="List Table 5 Dark - Accent 4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3">
    <w:name w:val="List Table 5 Dark - Accent 5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4">
    <w:name w:val="List Table 5 Dark - Accent 6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5">
    <w:name w:val="List Table 6 Colorful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126">
    <w:name w:val="List Table 6 Colorful - Accent 1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127">
    <w:name w:val="List Table 6 Colorful - Accent 2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128">
    <w:name w:val="List Table 6 Colorful - Accent 3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129">
    <w:name w:val="List Table 6 Colorful - Accent 4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130">
    <w:name w:val="List Table 6 Colorful - Accent 5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131">
    <w:name w:val="List Table 6 Colorful - Accent 6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132">
    <w:name w:val="List Table 7 Colorful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133">
    <w:name w:val="List Table 7 Colorful - Accent 1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134">
    <w:name w:val="List Table 7 Colorful - Accent 2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135">
    <w:name w:val="List Table 7 Colorful - Accent 3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136">
    <w:name w:val="List Table 7 Colorful - Accent 4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137">
    <w:name w:val="List Table 7 Colorful - Accent 5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138">
    <w:name w:val="List Table 7 Colorful - Accent 6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139">
    <w:name w:val="Lined - Accent"/>
    <w:basedOn w:val="11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40">
    <w:name w:val="Lined - Accent 1"/>
    <w:basedOn w:val="11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141">
    <w:name w:val="Lined - Accent 2"/>
    <w:basedOn w:val="11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42">
    <w:name w:val="Lined - Accent 3"/>
    <w:basedOn w:val="11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43">
    <w:name w:val="Lined - Accent 4"/>
    <w:basedOn w:val="11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44">
    <w:name w:val="Lined - Accent 5"/>
    <w:basedOn w:val="11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145">
    <w:name w:val="Lined - Accent 6"/>
    <w:basedOn w:val="11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46">
    <w:name w:val="Bordered &amp; Lined - Accent"/>
    <w:basedOn w:val="11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47">
    <w:name w:val="Bordered &amp; Lined - Accent 1"/>
    <w:basedOn w:val="11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148">
    <w:name w:val="Bordered &amp; Lined - Accent 2"/>
    <w:basedOn w:val="11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49">
    <w:name w:val="Bordered &amp; Lined - Accent 3"/>
    <w:basedOn w:val="11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50">
    <w:name w:val="Bordered &amp; Lined - Accent 4"/>
    <w:basedOn w:val="11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51">
    <w:name w:val="Bordered &amp; Lined - Accent 5"/>
    <w:basedOn w:val="11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152">
    <w:name w:val="Bordered &amp; Lined - Accent 6"/>
    <w:basedOn w:val="11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53">
    <w:name w:val="Bordered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54">
    <w:name w:val="Bordered - Accent 1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55">
    <w:name w:val="Bordered - Accent 2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56">
    <w:name w:val="Bordered - Accent 3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57">
    <w:name w:val="Bordered - Accent 4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58">
    <w:name w:val="Bordered - Accent 5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59">
    <w:name w:val="Bordered - Accent 6"/>
    <w:basedOn w:val="11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60">
    <w:name w:val="Hyperlink"/>
    <w:uiPriority w:val="99"/>
    <w:unhideWhenUsed/>
    <w:rPr>
      <w:color w:val="0000ff" w:themeColor="hyperlink"/>
      <w:u w:val="single"/>
    </w:rPr>
  </w:style>
  <w:style w:type="paragraph" w:styleId="1161">
    <w:name w:val="footnote text"/>
    <w:basedOn w:val="1178"/>
    <w:link w:val="1162"/>
    <w:uiPriority w:val="99"/>
    <w:semiHidden/>
    <w:unhideWhenUsed/>
    <w:pPr>
      <w:spacing w:after="40" w:line="240" w:lineRule="auto"/>
    </w:pPr>
    <w:rPr>
      <w:sz w:val="18"/>
    </w:rPr>
  </w:style>
  <w:style w:type="character" w:styleId="1162">
    <w:name w:val="Footnote Text Char"/>
    <w:link w:val="1161"/>
    <w:uiPriority w:val="99"/>
    <w:rPr>
      <w:sz w:val="18"/>
    </w:rPr>
  </w:style>
  <w:style w:type="character" w:styleId="1163">
    <w:name w:val="footnote reference"/>
    <w:uiPriority w:val="99"/>
    <w:unhideWhenUsed/>
    <w:rPr>
      <w:vertAlign w:val="superscript"/>
    </w:rPr>
  </w:style>
  <w:style w:type="paragraph" w:styleId="1164">
    <w:name w:val="endnote text"/>
    <w:basedOn w:val="1178"/>
    <w:link w:val="1165"/>
    <w:uiPriority w:val="99"/>
    <w:semiHidden/>
    <w:unhideWhenUsed/>
    <w:pPr>
      <w:spacing w:after="0" w:line="240" w:lineRule="auto"/>
    </w:pPr>
    <w:rPr>
      <w:sz w:val="20"/>
    </w:rPr>
  </w:style>
  <w:style w:type="character" w:styleId="1165">
    <w:name w:val="Endnote Text Char"/>
    <w:link w:val="1164"/>
    <w:uiPriority w:val="99"/>
    <w:rPr>
      <w:sz w:val="20"/>
    </w:rPr>
  </w:style>
  <w:style w:type="character" w:styleId="1166">
    <w:name w:val="endnote reference"/>
    <w:uiPriority w:val="99"/>
    <w:semiHidden/>
    <w:unhideWhenUsed/>
    <w:rPr>
      <w:vertAlign w:val="superscript"/>
    </w:rPr>
  </w:style>
  <w:style w:type="paragraph" w:styleId="1167">
    <w:name w:val="toc 1"/>
    <w:basedOn w:val="1178"/>
    <w:next w:val="1178"/>
    <w:uiPriority w:val="39"/>
    <w:unhideWhenUsed/>
    <w:pPr>
      <w:ind w:left="0" w:right="0" w:firstLine="0"/>
      <w:spacing w:after="57"/>
    </w:pPr>
  </w:style>
  <w:style w:type="paragraph" w:styleId="1168">
    <w:name w:val="toc 2"/>
    <w:basedOn w:val="1178"/>
    <w:next w:val="1178"/>
    <w:uiPriority w:val="39"/>
    <w:unhideWhenUsed/>
    <w:pPr>
      <w:ind w:left="283" w:right="0" w:firstLine="0"/>
      <w:spacing w:after="57"/>
    </w:pPr>
  </w:style>
  <w:style w:type="paragraph" w:styleId="1169">
    <w:name w:val="toc 3"/>
    <w:basedOn w:val="1178"/>
    <w:next w:val="1178"/>
    <w:uiPriority w:val="39"/>
    <w:unhideWhenUsed/>
    <w:pPr>
      <w:ind w:left="567" w:right="0" w:firstLine="0"/>
      <w:spacing w:after="57"/>
    </w:pPr>
  </w:style>
  <w:style w:type="paragraph" w:styleId="1170">
    <w:name w:val="toc 4"/>
    <w:basedOn w:val="1178"/>
    <w:next w:val="1178"/>
    <w:uiPriority w:val="39"/>
    <w:unhideWhenUsed/>
    <w:pPr>
      <w:ind w:left="850" w:right="0" w:firstLine="0"/>
      <w:spacing w:after="57"/>
    </w:pPr>
  </w:style>
  <w:style w:type="paragraph" w:styleId="1171">
    <w:name w:val="toc 5"/>
    <w:basedOn w:val="1178"/>
    <w:next w:val="1178"/>
    <w:uiPriority w:val="39"/>
    <w:unhideWhenUsed/>
    <w:pPr>
      <w:ind w:left="1134" w:right="0" w:firstLine="0"/>
      <w:spacing w:after="57"/>
    </w:pPr>
  </w:style>
  <w:style w:type="paragraph" w:styleId="1172">
    <w:name w:val="toc 6"/>
    <w:basedOn w:val="1178"/>
    <w:next w:val="1178"/>
    <w:uiPriority w:val="39"/>
    <w:unhideWhenUsed/>
    <w:pPr>
      <w:ind w:left="1417" w:right="0" w:firstLine="0"/>
      <w:spacing w:after="57"/>
    </w:pPr>
  </w:style>
  <w:style w:type="paragraph" w:styleId="1173">
    <w:name w:val="toc 7"/>
    <w:basedOn w:val="1178"/>
    <w:next w:val="1178"/>
    <w:uiPriority w:val="39"/>
    <w:unhideWhenUsed/>
    <w:pPr>
      <w:ind w:left="1701" w:right="0" w:firstLine="0"/>
      <w:spacing w:after="57"/>
    </w:pPr>
  </w:style>
  <w:style w:type="paragraph" w:styleId="1174">
    <w:name w:val="toc 8"/>
    <w:basedOn w:val="1178"/>
    <w:next w:val="1178"/>
    <w:uiPriority w:val="39"/>
    <w:unhideWhenUsed/>
    <w:pPr>
      <w:ind w:left="1984" w:right="0" w:firstLine="0"/>
      <w:spacing w:after="57"/>
    </w:pPr>
  </w:style>
  <w:style w:type="paragraph" w:styleId="1175">
    <w:name w:val="toc 9"/>
    <w:basedOn w:val="1178"/>
    <w:next w:val="1178"/>
    <w:uiPriority w:val="39"/>
    <w:unhideWhenUsed/>
    <w:pPr>
      <w:ind w:left="2268" w:right="0" w:firstLine="0"/>
      <w:spacing w:after="57"/>
    </w:pPr>
  </w:style>
  <w:style w:type="paragraph" w:styleId="1176">
    <w:name w:val="TOC Heading"/>
    <w:uiPriority w:val="39"/>
    <w:unhideWhenUsed/>
  </w:style>
  <w:style w:type="paragraph" w:styleId="1177">
    <w:name w:val="table of figures"/>
    <w:basedOn w:val="1178"/>
    <w:next w:val="1178"/>
    <w:uiPriority w:val="99"/>
    <w:unhideWhenUsed/>
    <w:pPr>
      <w:spacing w:after="0" w:afterAutospacing="0"/>
    </w:pPr>
  </w:style>
  <w:style w:type="paragraph" w:styleId="1178" w:default="1">
    <w:name w:val="Normal"/>
    <w:qFormat/>
  </w:style>
  <w:style w:type="table" w:styleId="11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80" w:default="1">
    <w:name w:val="No List"/>
    <w:uiPriority w:val="99"/>
    <w:semiHidden/>
    <w:unhideWhenUsed/>
  </w:style>
  <w:style w:type="paragraph" w:styleId="1181">
    <w:name w:val="No Spacing"/>
    <w:basedOn w:val="1178"/>
    <w:uiPriority w:val="1"/>
    <w:qFormat/>
    <w:pPr>
      <w:spacing w:after="0" w:line="240" w:lineRule="auto"/>
    </w:pPr>
  </w:style>
  <w:style w:type="paragraph" w:styleId="1182">
    <w:name w:val="List Paragraph"/>
    <w:basedOn w:val="1178"/>
    <w:uiPriority w:val="34"/>
    <w:qFormat/>
    <w:pPr>
      <w:contextualSpacing/>
      <w:ind w:left="720"/>
    </w:pPr>
  </w:style>
  <w:style w:type="character" w:styleId="1183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s://data.stat.gov.rs/Home/Result/3104020801?languageCode=sr-Latn" TargetMode="External"/><Relationship Id="rId12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2025-01-27T17:09:06Z</dcterms:modified>
</cp:coreProperties>
</file>